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1A408B63">
                <wp:simplePos x="0" y="0"/>
                <wp:positionH relativeFrom="column">
                  <wp:posOffset>893445</wp:posOffset>
                </wp:positionH>
                <wp:positionV relativeFrom="paragraph">
                  <wp:posOffset>-240665</wp:posOffset>
                </wp:positionV>
                <wp:extent cx="3792855" cy="992505"/>
                <wp:effectExtent l="0" t="0" r="0" b="0"/>
                <wp:wrapNone/>
                <wp:docPr id="1" name="Grupa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240" cy="991800"/>
                        </a:xfrm>
                      </wpg:grpSpPr>
                      <pic:pic xmlns:pic="http://schemas.openxmlformats.org/drawingml/2006/picture">
                        <pic:nvPicPr>
                          <pic:cNvPr id="0" name="Obraz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848960" y="181080"/>
                            <a:ext cx="1943280" cy="81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az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1370880" cy="99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5" style="position:absolute;margin-left:70.35pt;margin-top:-18.95pt;width:298.6pt;height:78.1pt" coordorigin="1407,-379" coordsize="5972,1562">
                <v:rect id="shape_0" ID="Obraz 2" stroked="f" style="position:absolute;left:4319;top:-94;width:3059;height:1276">
                  <v:imagedata r:id="rId2" o:detectmouseclick="t"/>
                  <w10:wrap type="none"/>
                  <v:stroke color="#3465a4" joinstyle="round" endcap="flat"/>
                </v:rect>
                <v:rect id="shape_0" ID="Obraz 3" stroked="f" style="position:absolute;left:1407;top:-379;width:2158;height:1561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/>
        <w:jc w:val="both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spacing w:lineRule="auto" w:line="240"/>
        <w:jc w:val="both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  <w:t>Wydatek współfinansowany ze środków Narodowego Centrum Badań i Rozwoju w ramach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lang w:eastAsia="pl-PL"/>
        </w:rPr>
        <w:t>Programu STATEGMED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eastAsia="Arial Unicode MS" w:cs="Calibri" w:cstheme="minorHAnsi"/>
          <w:b/>
          <w:b/>
          <w:u w:val="single"/>
          <w:lang w:eastAsia="pl-PL"/>
        </w:rPr>
      </w:pPr>
      <w:r>
        <w:rPr>
          <w:rFonts w:eastAsia="Arial Unicode MS" w:cs="Calibri" w:cstheme="minorHAnsi"/>
          <w:b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eastAsia="Arial Unicode MS" w:cs="Calibri" w:cstheme="minorHAnsi"/>
          <w:b/>
          <w:b/>
          <w:u w:val="single"/>
          <w:lang w:eastAsia="pl-PL"/>
        </w:rPr>
      </w:pPr>
      <w:r>
        <w:rPr>
          <w:rFonts w:eastAsia="Arial Unicode MS" w:cs="Calibri" w:cstheme="minorHAnsi"/>
          <w:b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eastAsia="Arial Unicode MS" w:cs="Calibri" w:cstheme="minorHAnsi"/>
          <w:b/>
          <w:b/>
          <w:u w:val="single"/>
          <w:lang w:eastAsia="pl-PL"/>
        </w:rPr>
      </w:pPr>
      <w:bookmarkStart w:id="0" w:name="_Toc70828825"/>
      <w:bookmarkStart w:id="1" w:name="_Toc70490975"/>
      <w:bookmarkStart w:id="2" w:name="_Toc70483003"/>
      <w:bookmarkEnd w:id="0"/>
      <w:bookmarkEnd w:id="1"/>
      <w:bookmarkEnd w:id="2"/>
      <w:r>
        <w:rPr>
          <w:rFonts w:eastAsia="Arial Unicode MS" w:cs="Calibri" w:cstheme="minorHAnsi"/>
          <w:b/>
          <w:u w:val="single"/>
          <w:lang w:eastAsia="pl-PL"/>
        </w:rPr>
        <w:t xml:space="preserve">ZAPROSZENIE DO SKŁADANIA OFERT 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Style w:val="Strong"/>
          <w:rFonts w:cs="Calibri" w:cstheme="minorHAnsi"/>
        </w:rPr>
        <w:t>ZAMAWIAJĄCY:</w:t>
      </w:r>
    </w:p>
    <w:tbl>
      <w:tblPr>
        <w:tblW w:w="8702" w:type="dxa"/>
        <w:jc w:val="left"/>
        <w:tblInd w:w="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83"/>
        <w:gridCol w:w="4418"/>
      </w:tblGrid>
      <w:tr>
        <w:trPr/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Style w:val="Strong"/>
                <w:rFonts w:cs="Calibri" w:cstheme="minorHAnsi"/>
              </w:rPr>
              <w:t>Melitus Sp. z o.o.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Style w:val="Strong"/>
                <w:rFonts w:cs="Calibri" w:cstheme="minorHAnsi"/>
              </w:rPr>
              <w:t>01-627 Warszawa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Style w:val="Strong"/>
                <w:rFonts w:cs="Calibri" w:cstheme="minorHAnsi"/>
              </w:rPr>
              <w:t>ul. Słowackiego 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Style w:val="Strong"/>
                <w:rFonts w:cs="Calibri" w:cstheme="minorHAnsi"/>
              </w:rPr>
              <w:t>NIP 5252398476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Style w:val="Strong"/>
                <w:rFonts w:cs="Calibri" w:cstheme="minorHAnsi"/>
              </w:rPr>
              <w:t>REGON 141025692</w:t>
            </w:r>
          </w:p>
        </w:tc>
        <w:tc>
          <w:tcPr>
            <w:tcW w:w="4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Osoba do kontaktu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Maria Noszczyk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22 833 74 38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/>
              </w:rPr>
              <w:t>maria.noszczyk@melitus.pl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200"/>
        <w:ind w:left="370" w:hanging="360"/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Style w:val="Strong"/>
          <w:rFonts w:cs="Calibri" w:cstheme="minorHAnsi"/>
        </w:rPr>
        <w:t>PRZEDMIOT ZAMÓWIENIA:</w:t>
      </w:r>
    </w:p>
    <w:p>
      <w:pPr>
        <w:pStyle w:val="Bodytext21"/>
        <w:shd w:val="clear" w:color="auto" w:fill="auto"/>
        <w:spacing w:lineRule="exact" w:line="264" w:before="0" w:after="223"/>
        <w:ind w:firstLine="35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bidi="pl-PL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 związku z realizowanym projektem: pt. „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bidi="pl-PL"/>
        </w:rPr>
        <w:t xml:space="preserve">Potencjał terapeutyczny mezenchymalnych komórek macierzystych testowany w próbach klinicznych oraz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in vitro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bidi="pl-PL"/>
        </w:rPr>
        <w:t>- uzasadnienie dla bankowania scharakteryzowanych komórek"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- zapraszamy lekarzy medycyny do składania ofert dotyczących opracowania przez lekarza dzieła polegającego na wykonaniu analizy zależności stwierdzonych podczas wykonywania przez lekarza zabiegów liposukcji wraz z badawczym opisem obserwowanych zmian i zależności w trakcie prowadzonych badań (</w:t>
      </w:r>
      <w:r>
        <w:rPr>
          <w:rFonts w:cs="Calibri" w:cstheme="minorHAnsi"/>
          <w:b/>
        </w:rPr>
        <w:t>Dzieło</w:t>
      </w:r>
      <w:r>
        <w:rPr>
          <w:rFonts w:cs="Calibri" w:cstheme="minorHAnsi"/>
        </w:rPr>
        <w:t>). Szczegółowy zakres badań stanowiących podstawę do przygotowania Dzieła przez lekarza określa załącznik nr 1 do niniejszego zaproszenia (</w:t>
      </w:r>
      <w:r>
        <w:rPr>
          <w:rFonts w:cs="Calibri" w:cstheme="minorHAnsi"/>
          <w:b/>
        </w:rPr>
        <w:t>Badania</w:t>
      </w:r>
      <w:r>
        <w:rPr>
          <w:rFonts w:cs="Calibri" w:cstheme="minorHAnsi"/>
        </w:rPr>
        <w:t>), przy czym liczba Badań powierzonych lekarzowi w celu wykonania Dzieła nie przekroczy 35 Badań, przy założeniu, że jedno Badanie dotyczy jednego probanta.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Szczegółowy opis zadania, wraz z opisem pobrania i zabezpieczenia pobranego materiału znajduje się w </w:t>
      </w:r>
      <w:r>
        <w:rPr>
          <w:rFonts w:cs="Calibri" w:cstheme="minorHAnsi"/>
          <w:i/>
        </w:rPr>
        <w:t>Załączniku I- Opis zadania</w:t>
      </w:r>
      <w:r>
        <w:rPr>
          <w:rFonts w:cs="Calibri" w:cstheme="minorHAnsi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Badania prowadzone będą w okresie od 1 czerwca 2017 roku do 31 sierpnia 2018 roku, przy czym wskazany przedział czasu ma charakter wyłącznie orientacyjny, co oznacza, że w razie takiej potrzeby Zamawiający będzie mógł zlecać lekarzowi Badania zarówno przez dniem 1 czerwca 2017 roku jak i po dniu 31 sierpnia 2018 roku. 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MIEJSCE ŚWIADCZENIA USŁUGI, BĘDĄCEJ PRZEDMIOTEM ZAMÓWIENIA  </w:t>
      </w:r>
    </w:p>
    <w:p>
      <w:pPr>
        <w:pStyle w:val="ListParagraph"/>
        <w:spacing w:beforeAutospacing="1" w:afterAutospacing="1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beforeAutospacing="1" w:afterAutospacing="1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Lecznica Dermatologii Estetycznej i Anty – Aging Melitus</w:t>
      </w:r>
    </w:p>
    <w:p>
      <w:pPr>
        <w:pStyle w:val="ListParagraph"/>
        <w:spacing w:beforeAutospacing="1" w:afterAutospacing="1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Ul. Słowackiego 12</w:t>
      </w:r>
    </w:p>
    <w:p>
      <w:pPr>
        <w:pStyle w:val="ListParagraph"/>
        <w:spacing w:beforeAutospacing="1" w:afterAutospacing="1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01-627 Warszawa </w:t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  <w:bCs w:val="false"/>
          <w:u w:val="single"/>
        </w:rPr>
      </w:pPr>
      <w:r>
        <w:rPr>
          <w:rFonts w:cs="Calibri" w:cstheme="minorHAnsi"/>
        </w:rPr>
        <w:t xml:space="preserve"> </w:t>
      </w:r>
      <w:r>
        <w:rPr>
          <w:rStyle w:val="Strong"/>
          <w:rFonts w:cs="Calibri" w:cstheme="minorHAnsi"/>
        </w:rPr>
        <w:t xml:space="preserve">WARUNKI UDZIAŁU W ZAMÓWIENIU </w:t>
      </w:r>
    </w:p>
    <w:p>
      <w:pPr>
        <w:pStyle w:val="Normal"/>
        <w:spacing w:beforeAutospacing="1" w:afterAutospacing="1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O udziale w zamówieniu mogą się ubiegać lekarze medycyny, którzy spełniają warunki dotyczące:</w:t>
      </w:r>
    </w:p>
    <w:p>
      <w:pPr>
        <w:pStyle w:val="ListParagraph"/>
        <w:numPr>
          <w:ilvl w:val="1"/>
          <w:numId w:val="1"/>
        </w:numPr>
        <w:spacing w:beforeAutospacing="1" w:afterAutospacing="1"/>
        <w:ind w:left="782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Specjalizacja z chirurgii lub chirurgii plastycznej,</w:t>
      </w:r>
    </w:p>
    <w:p>
      <w:pPr>
        <w:pStyle w:val="ListParagraph"/>
        <w:numPr>
          <w:ilvl w:val="1"/>
          <w:numId w:val="1"/>
        </w:numPr>
        <w:spacing w:beforeAutospacing="1" w:afterAutospacing="1"/>
        <w:ind w:left="782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Kwalifikacje i doświadczenie w wykonywaniu zabiegów chirurgicznych i laserowych w zakresie medycyny estetycznej lub chirurgii plastycznej, poświadczone dyplomami ukończonych kursów i dokumentami potwierdzającymi staż pracy w tym zakresie,</w:t>
      </w:r>
    </w:p>
    <w:p>
      <w:pPr>
        <w:pStyle w:val="ListParagraph"/>
        <w:numPr>
          <w:ilvl w:val="1"/>
          <w:numId w:val="1"/>
        </w:numPr>
        <w:spacing w:beforeAutospacing="1" w:afterAutospacing="1"/>
        <w:ind w:left="782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Doświadczenie w pracy naukowo- badawczej poparte tytułem naukowym, lub aktualnie wykonywaną współpracą z Ośrodkiem Klinicznym,</w:t>
      </w:r>
    </w:p>
    <w:p>
      <w:pPr>
        <w:pStyle w:val="ListParagraph"/>
        <w:numPr>
          <w:ilvl w:val="1"/>
          <w:numId w:val="1"/>
        </w:numPr>
        <w:spacing w:beforeAutospacing="1" w:afterAutospacing="1"/>
        <w:ind w:left="782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Co najmniej czteroletni staż pracy w Oddziale Chirurgii Ogólnej lub Plastycznej Szpitala Klinicznego,</w:t>
      </w:r>
    </w:p>
    <w:p>
      <w:pPr>
        <w:pStyle w:val="ListParagraph"/>
        <w:numPr>
          <w:ilvl w:val="1"/>
          <w:numId w:val="1"/>
        </w:numPr>
        <w:spacing w:before="0" w:after="0"/>
        <w:ind w:left="782" w:hanging="357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>Co najmniej czteroletnie doświadczenie zawodowe uzyskane w podmiotach, których przedmiotem działalności są czynności związane z pobieraniem tkanek i komórek ludzkich,</w:t>
      </w:r>
    </w:p>
    <w:p>
      <w:pPr>
        <w:pStyle w:val="ListParagraph"/>
        <w:numPr>
          <w:ilvl w:val="1"/>
          <w:numId w:val="1"/>
        </w:numPr>
        <w:spacing w:beforeAutospacing="1" w:afterAutospacing="1"/>
        <w:ind w:left="782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Dyspozycyjność czasowa w okresie realizacji projektu w wymiarze co najmniej 10 godzin w tygodniu w przedziale 9:00 -20:00 (przez tydzień należy rozumieć dni roboczego od poniedziałku do piątku) pozwalająca dopasować termin wykonania opisanych Badań do rytmu i schematu Badania.</w:t>
      </w:r>
    </w:p>
    <w:p>
      <w:pPr>
        <w:pStyle w:val="ListParagraph"/>
        <w:tabs>
          <w:tab w:val="left" w:pos="426" w:leader="none"/>
        </w:tabs>
        <w:ind w:left="360" w:hanging="0"/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Style w:val="Strong"/>
          <w:rFonts w:cs="Calibri" w:cstheme="minorHAnsi"/>
        </w:rPr>
        <w:t xml:space="preserve"> </w:t>
      </w:r>
      <w:r>
        <w:rPr>
          <w:rStyle w:val="Strong"/>
          <w:rFonts w:cs="Calibri" w:cstheme="minorHAnsi"/>
        </w:rPr>
        <w:t>WYKAZ OŚWIADCZEŃ I DOKUMENTÓW, JAKIE NALEŻY DOSTARCZYĆ W CELU POTWIERDZENIA SPEŁNIANIA WARUNKÓW UDZIAŁU W POSTĘPOWANIU</w:t>
      </w:r>
    </w:p>
    <w:p>
      <w:pPr>
        <w:pStyle w:val="Normal"/>
        <w:tabs>
          <w:tab w:val="left" w:pos="426" w:leader="none"/>
        </w:tabs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Style w:val="Strong"/>
          <w:rFonts w:cs="Calibri" w:cstheme="minorHAnsi"/>
          <w:b w:val="false"/>
        </w:rPr>
        <w:t>Zamawiający wymaga złożenia dodatkowych dokumentów potwierdzających spełnienie warunków udziału w postępowaniu: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CV,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Prawo wykonywania zawodu lekarza medycyny,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Dokument potwierdzający specjalizację,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Dokument potwierdzający staż pracy w zawodzie chirurga,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Inne dokumenty potwierdzające spełnienie warunków udziału w Zamówieniu (p.IV), w szczególności oświadczenia wykonawcy.</w:t>
      </w:r>
    </w:p>
    <w:p>
      <w:pPr>
        <w:pStyle w:val="Akapitzlist1"/>
        <w:spacing w:lineRule="auto" w:line="240" w:before="0" w:after="0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zastrzega sobie prawo żądania od wykonawcy uzupełnienia dokumentów potwierdzających warunki udziału w postępowaniu lub złożenia dodatkowych wyjaśnień w zakreślonym przez Zamawiającego terminie. Zamawiający zastrzega sobie prawo odrzucenia oferty złożonej przez wykonawcę, jeżeli wykonawca nie uzupełni dokumentów lub nie złoży wyjaśnień w zakreślonym terminie.</w:t>
      </w:r>
    </w:p>
    <w:p>
      <w:pPr>
        <w:pStyle w:val="ListParagraph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ind w:left="360" w:hanging="0"/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Style w:val="Strong"/>
          <w:rFonts w:cs="Calibri" w:cstheme="minorHAnsi"/>
        </w:rPr>
        <w:t>SPOSÓB PRZYGOTOWANIA</w:t>
      </w:r>
    </w:p>
    <w:p>
      <w:pPr>
        <w:pStyle w:val="ListParagraph"/>
        <w:spacing w:before="0" w:after="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Każdy kandydat możne złożyć tylko jedną ofertę.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Oferta powinna być sporządzona zgodnie z postanowieniami niniejszego zaproszenia.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Kandydat wyraża gotowość do poprowadzenia badań w stosunku do 35 probantów (jeden probant jedno badanie), według opisu zadania, przedstawionego </w:t>
      </w:r>
      <w:r>
        <w:rPr>
          <w:rFonts w:cs="Calibri" w:cstheme="minorHAnsi"/>
          <w:i/>
        </w:rPr>
        <w:t>w Załączniku I</w:t>
      </w:r>
      <w:r>
        <w:rPr>
          <w:rFonts w:cs="Calibri" w:cstheme="minorHAnsi"/>
        </w:rPr>
        <w:t xml:space="preserve">, przy czym wskazana powyżej liczba ma charakter maksymalny, co oznacza, że Zamawiający może powierzyć wykonawcy mniejszą liczbę probantów.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Podana wartość ma być obliczona, jako wartość brutto za poprowadzenie badania jednego probanta, według opisu zadania (</w:t>
      </w:r>
      <w:r>
        <w:rPr>
          <w:rFonts w:cs="Calibri" w:cstheme="minorHAnsi"/>
          <w:i/>
        </w:rPr>
        <w:t>Załącznik I</w:t>
      </w:r>
      <w:r>
        <w:rPr>
          <w:rFonts w:cs="Calibri" w:cstheme="minorHAnsi"/>
        </w:rPr>
        <w:t>).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Oferta musi zostać złożona na formularzu ofertowym stanowiącym załącznik do niniejszego zaproszenia.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Oferta powinna być sporządzona w języku polskim.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Oferta powinna być podpisana przez wykonawcę lub osobę upoważnioną do reprezentowania Wykonawcy. W przypadku, gdy ofertę podpisuje osoba upoważniona do reprezentowania Wykonawcy, do oferty powinno zostać dołączone pełnomocnictwo.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Oferta musi zawierać, w przypadku ofert składanych przez osoby fizyczne, oświadczenie o wyrażeniu zgody na przetwarzanie danych osobowych na formularzu ofertowym, stanowiącym załącznik do niniejszego zaproszenia.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zastrzega sobie prawo do zmiany zaproszenia na każdym etapie, bez podawania przyczyny.</w:t>
      </w:r>
    </w:p>
    <w:p>
      <w:pPr>
        <w:pStyle w:val="ListParagraph"/>
        <w:spacing w:before="0" w:after="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zabrania jakichkolwiek modyfikacji treści dokumentów, za wyjątkiem miejsc służących do wypełnienia treści oferty.</w:t>
      </w:r>
    </w:p>
    <w:p>
      <w:pPr>
        <w:pStyle w:val="ListParagraph"/>
        <w:spacing w:before="0" w:after="0"/>
        <w:ind w:left="360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KRYTERIA OCENY OFERT I SPOSÓB OCENY OFERT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Spełnienie wymogów formalnych stawianych kandydatom (p. IV), ocenianych na podstawie dokumentów (CV, referencje, dyplomy i innych). Ocena spełnienia kryteriów udziału w postępowaniu odbywała się będzie według zasady TAK/NIE (spełnia/nie spełnia). 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wybierze cztery oferty, które w kolejności uzyskają najwięcej punktów, liczonych według następującego kryterium: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 40% cena oferty,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- 10% specjalizacja w chirurgii plastycznej,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- 10% tytuł naukowy w dziedzinie medycyny ,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- 40 % wyrażenie zgody na skrócenie terminu wykonania Badań i wykonanie Badań stanowiących podstawę do wykonania Dzieła nie później niż w terminie 7 dni od otrzymania zlecenia od Zamawiającego.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Oferta najkorzystniejsza cenowo otrzyma 40 punktów, a każda następna oferta otrzyma liczbę punków proporcjonalnie mniejszą, obliczoną według wzoru: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Liczba punktów oferty badanej = XA = cena min. / cena badana x 40 pkt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 liczby punków oferty badanej doliczone zostaną punkty: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za specjalizację z chirurgii plastycznej = 10 punktów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- za tytuł naukowy w dziedzinie medycyny= 10 punktów 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- za wyrażenie zgody na skrócenie terminu wykonania Badania i wykonanie Badania stanowiącego podstawę do wykonania Dzieła nie później niż w terminie 7 dni od otrzymania zlecenia od Zamawiającego = 40 pkt</w:t>
      </w:r>
    </w:p>
    <w:p>
      <w:pPr>
        <w:pStyle w:val="ListParagraph"/>
        <w:spacing w:before="0" w:after="0"/>
        <w:ind w:left="78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Jeżeli nie można dokonać wyboru ofert najkorzystniejszych ze względu na to, że zostały złożone oferty o takiej samej wartości punktów, Zamawiający wezwie Wykonawców, którzy złożyli te oferty, do złożenia w terminie określonym przez niego ofert dodatkowych. Wykonawcy składający oferty dodatkowe nie mogą zaoferować cen wyższych niż zaoferowane w złożonych ofertach.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SPOSÓB PRZYGOTOWANIA OFERTY </w:t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Każdy Wykonawca może złożyć ofertę tylko jedną ofertę.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Oferta powinna być sporządzona zgodnie z postanowieniami niniejszego zaproszenia.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Oferta powinna być napisana w sposób czytelny wg wzoru stanowiącego </w:t>
      </w:r>
      <w:r>
        <w:rPr>
          <w:rFonts w:cs="Calibri" w:cstheme="minorHAnsi"/>
          <w:bCs/>
          <w:i/>
          <w:sz w:val="22"/>
          <w:szCs w:val="22"/>
        </w:rPr>
        <w:t>Załącznik nr II</w:t>
      </w:r>
      <w:r>
        <w:rPr>
          <w:rFonts w:cs="Calibri" w:cstheme="minorHAnsi"/>
          <w:b/>
          <w:bCs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Oferta powinna być podpisana.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IX.  WYBÓR WYKONAWCY I SPOSÓB OGŁOSZENIA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Zamawiający wybierze oferty najkorzystniejsze na podstawie kryteriów oceny ofert określonych w niniejszej zaproszeniu.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Zleceniodawca wybierze czterech wykonawców (lub mniejszą liczbę w przypadku braku ofert spełniających wyżej wymienione wymagania), którzy złożyli oferty, które kolejno otrzymały największą liczbę punktów.  Zadania będą zlecane w pierwszej kolejności tym Wykonawcom, którzy otrzymali najwyższą liczbę punktów, a w przypadku niemożliwości realizacji zadania w określonym terminie przez tego Wykonawcę zadanie zostanie zlecone kolejnemu Wykonawcy.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O wyborze Wykonawcy Zamawiający poinformuje wszystkich Wykonawców, którzy złożyli oferty. Informacje, o których mowa, Zamawiający zamieści w siedzibie Spółki Melitus, w Warszawie przy ul. Słowackiego 12/ tel.22 8337438.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Wybór oferty nie jest równoznaczny z zawarciem umowy. </w:t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X. TERMIN ZWIĄZANIA OFERTĄ </w:t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Default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1. Termin związania ofertą wynosi 30 dni. Bieg terminu rozpoczyna się wraz z upływem terminu składania ofert. 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2</w:t>
      </w:r>
      <w:r>
        <w:rPr>
          <w:rFonts w:cs="Calibri" w:cstheme="minorHAnsi"/>
          <w:b/>
          <w:bCs/>
        </w:rPr>
        <w:t xml:space="preserve">. </w:t>
      </w:r>
      <w:r>
        <w:rPr>
          <w:rFonts w:cs="Calibri" w:cstheme="minorHAnsi"/>
        </w:rPr>
        <w:t>Oferta złożona w postę</w:t>
      </w:r>
      <w:bookmarkStart w:id="3" w:name="_GoBack"/>
      <w:bookmarkEnd w:id="3"/>
      <w:r>
        <w:rPr>
          <w:rFonts w:cs="Calibri" w:cstheme="minorHAnsi"/>
        </w:rPr>
        <w:t>powaniu, przestaje wiązać w przypadku wyboru innej oferty lub zamknięcia postępowania bez dokonania wyboru wykonawcy.</w:t>
      </w:r>
    </w:p>
    <w:p>
      <w:pPr>
        <w:pStyle w:val="ListParagraph"/>
        <w:numPr>
          <w:ilvl w:val="0"/>
          <w:numId w:val="7"/>
        </w:numPr>
        <w:tabs>
          <w:tab w:val="left" w:pos="426" w:leader="none"/>
        </w:tabs>
        <w:jc w:val="both"/>
        <w:rPr>
          <w:rStyle w:val="Strong"/>
          <w:rFonts w:ascii="Calibri" w:hAnsi="Calibri" w:cs="Calibri" w:asciiTheme="minorHAnsi" w:cstheme="minorHAnsi" w:hAnsiTheme="minorHAnsi"/>
        </w:rPr>
      </w:pPr>
      <w:r>
        <w:rPr>
          <w:rStyle w:val="Strong"/>
          <w:rFonts w:cs="Calibri" w:cstheme="minorHAnsi"/>
        </w:rPr>
        <w:t>TERMIN I SPOSÓB SKŁADANIA OFERT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strike w:val="false"/>
          <w:dstrike w:val="false"/>
          <w:color w:val="000000"/>
        </w:rPr>
      </w:pPr>
      <w:r>
        <w:rPr>
          <w:rFonts w:cs="Calibri" w:cstheme="minorHAnsi"/>
          <w:strike w:val="false"/>
          <w:dstrike w:val="false"/>
          <w:color w:val="000000"/>
        </w:rPr>
        <w:t>Oferty należy złożyć nie później niż do 21.01</w:t>
      </w:r>
      <w:r>
        <w:rPr>
          <w:rFonts w:cs="Calibri" w:cstheme="minorHAnsi"/>
          <w:b/>
          <w:strike w:val="false"/>
          <w:dstrike w:val="false"/>
          <w:color w:val="000000"/>
        </w:rPr>
        <w:t xml:space="preserve">. </w:t>
      </w:r>
      <w:r>
        <w:rPr>
          <w:rFonts w:cs="Calibri" w:cstheme="minorHAnsi"/>
          <w:strike w:val="false"/>
          <w:dstrike w:val="false"/>
          <w:color w:val="000000"/>
        </w:rPr>
        <w:t xml:space="preserve">2017 </w:t>
      </w:r>
    </w:p>
    <w:p>
      <w:pPr>
        <w:pStyle w:val="ListParagraph"/>
        <w:spacing w:before="0" w:after="0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Zamawiający dopuszcza przesłanie ofert: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360"/>
        <w:jc w:val="both"/>
        <w:rPr/>
      </w:pPr>
      <w:r>
        <w:rPr>
          <w:rFonts w:cs="Calibri" w:cstheme="minorHAnsi"/>
        </w:rPr>
        <w:t xml:space="preserve">pocztą e-mail,  na  adres :  </w:t>
      </w:r>
      <w:hyperlink r:id="rId4">
        <w:r>
          <w:rPr>
            <w:rStyle w:val="Czeinternetowe"/>
            <w:rFonts w:cs="Calibri" w:cstheme="minorHAnsi"/>
          </w:rPr>
          <w:t>biuro@klinikamelitus.pl</w:t>
        </w:r>
      </w:hyperlink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lub</w:t>
      </w:r>
      <w:r>
        <w:rPr>
          <w:rFonts w:cs="Calibri" w:cstheme="minorHAnsi"/>
        </w:rPr>
        <w:t xml:space="preserve"> </w:t>
      </w:r>
      <w:hyperlink r:id="rId5">
        <w:r>
          <w:rPr>
            <w:rStyle w:val="Czeinternetowe"/>
            <w:rFonts w:cs="Calibri" w:cstheme="minorHAnsi"/>
          </w:rPr>
          <w:t>maria.noszczyk@melitus.</w:t>
        </w:r>
        <w:r>
          <w:rPr>
            <w:rStyle w:val="Czeinternetowe"/>
            <w:rFonts w:cs="Calibri" w:cstheme="minorHAnsi"/>
          </w:rPr>
          <w:t>pl</w:t>
        </w:r>
      </w:hyperlink>
    </w:p>
    <w:p>
      <w:pPr>
        <w:pStyle w:val="ListParagraph"/>
        <w:numPr>
          <w:ilvl w:val="0"/>
          <w:numId w:val="0"/>
        </w:numPr>
        <w:spacing w:before="0" w:after="0"/>
        <w:ind w:left="72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POSTANOWIENIA KOŃCOWE </w:t>
      </w:r>
    </w:p>
    <w:p>
      <w:pPr>
        <w:pStyle w:val="ListParagraph"/>
        <w:numPr>
          <w:ilvl w:val="0"/>
          <w:numId w:val="6"/>
        </w:numPr>
        <w:spacing w:before="0" w:after="0"/>
        <w:ind w:left="69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zastrzega sobie prawo do unieważnienia lub zamknięcia postępowania, na każdym jego etapie bez podania przyczyny. Wykonawcom nie przysługują żadne roszczenia z tytułu unieważnienia lub zamknięcia postępowania.</w:t>
      </w:r>
    </w:p>
    <w:p>
      <w:pPr>
        <w:pStyle w:val="Akapitzlist1"/>
        <w:numPr>
          <w:ilvl w:val="0"/>
          <w:numId w:val="6"/>
        </w:numPr>
        <w:tabs>
          <w:tab w:val="left" w:pos="4950" w:leader="none"/>
        </w:tabs>
        <w:spacing w:lineRule="auto" w:line="240" w:before="0" w:after="0"/>
        <w:ind w:left="69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Niniejsze zapytanie nie stanowi oferty.</w:t>
      </w:r>
    </w:p>
    <w:p>
      <w:pPr>
        <w:pStyle w:val="Akapitzlist1"/>
        <w:numPr>
          <w:ilvl w:val="0"/>
          <w:numId w:val="6"/>
        </w:numPr>
        <w:tabs>
          <w:tab w:val="left" w:pos="4950" w:leader="none"/>
        </w:tabs>
        <w:spacing w:lineRule="auto" w:line="240" w:before="0" w:after="0"/>
        <w:ind w:left="69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nie dopuszcza możliwości składania ofert wariantowych lub częściowych.</w:t>
      </w:r>
    </w:p>
    <w:p>
      <w:pPr>
        <w:pStyle w:val="Akapitzlist1"/>
        <w:numPr>
          <w:ilvl w:val="0"/>
          <w:numId w:val="6"/>
        </w:numPr>
        <w:tabs>
          <w:tab w:val="left" w:pos="4950" w:leader="none"/>
        </w:tabs>
        <w:spacing w:lineRule="auto" w:line="240" w:before="0" w:after="0"/>
        <w:ind w:left="69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Decyzja Zamawiającego o odrzuceniu oferty jest ostateczna.</w:t>
      </w:r>
    </w:p>
    <w:p>
      <w:pPr>
        <w:pStyle w:val="Akapitzlist1"/>
        <w:numPr>
          <w:ilvl w:val="0"/>
          <w:numId w:val="6"/>
        </w:numPr>
        <w:tabs>
          <w:tab w:val="left" w:pos="4950" w:leader="none"/>
        </w:tabs>
        <w:spacing w:lineRule="auto" w:line="240" w:before="0" w:after="0"/>
        <w:ind w:left="69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Zamawiający jest uprawniony do poprawienia w tekście oferty oczywistych omyłek pisarskich, niezwłocznie zawiadamiając o tym oferenta. W przypadku rozbieżności, co do kwoty oferty, za cenę oferty Zamawiający przyjmuje kwotę wpisaną słownie.</w:t>
      </w:r>
    </w:p>
    <w:p>
      <w:pPr>
        <w:pStyle w:val="Akapitzlist1"/>
        <w:numPr>
          <w:ilvl w:val="0"/>
          <w:numId w:val="6"/>
        </w:numPr>
        <w:tabs>
          <w:tab w:val="left" w:pos="4950" w:leader="none"/>
        </w:tabs>
        <w:spacing w:lineRule="auto" w:line="240" w:before="0" w:after="0"/>
        <w:ind w:left="69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przypadku uchylenia się Wykonawcy, którego oferta została wybrana od podpisania umowy, Zamawiający zastrzega możliwość podpisania umowy z następnym w kolejności Wykonawcą.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Załączniki:</w:t>
      </w:r>
    </w:p>
    <w:p>
      <w:pPr>
        <w:pStyle w:val="ListParagraph"/>
        <w:numPr>
          <w:ilvl w:val="3"/>
          <w:numId w:val="10"/>
        </w:numP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opis zadania,</w:t>
      </w:r>
    </w:p>
    <w:p>
      <w:pPr>
        <w:pStyle w:val="ListParagraph"/>
        <w:numPr>
          <w:ilvl w:val="3"/>
          <w:numId w:val="10"/>
        </w:numP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formularz oferty,</w:t>
      </w:r>
    </w:p>
    <w:p>
      <w:pPr>
        <w:pStyle w:val="ListParagraph"/>
        <w:numPr>
          <w:ilvl w:val="3"/>
          <w:numId w:val="10"/>
        </w:numPr>
        <w:ind w:left="284" w:hanging="284"/>
        <w:jc w:val="both"/>
        <w:rPr>
          <w:rFonts w:cs="Calibri" w:cstheme="minorHAnsi"/>
        </w:rPr>
      </w:pPr>
      <w:r>
        <w:rPr>
          <w:rFonts w:cs="Calibri" w:cstheme="minorHAnsi"/>
        </w:rPr>
        <w:t>wzór umowy.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Załącznik nr 1 </w:t>
      </w:r>
      <w:r>
        <w:rPr>
          <w:b/>
        </w:rPr>
        <w:t>Opis zadania  – Lekarze chirurdzy</w:t>
      </w:r>
    </w:p>
    <w:p>
      <w:pPr>
        <w:pStyle w:val="Normal"/>
        <w:keepNext/>
        <w:keepLines/>
        <w:numPr>
          <w:ilvl w:val="0"/>
          <w:numId w:val="0"/>
        </w:numPr>
        <w:spacing w:before="480" w:after="200"/>
        <w:jc w:val="both"/>
        <w:outlineLvl w:val="0"/>
        <w:rPr>
          <w:rFonts w:ascii="Calibri" w:hAnsi="Calibri"/>
          <w:b/>
          <w:b/>
          <w:bCs/>
        </w:rPr>
      </w:pPr>
      <w:bookmarkStart w:id="4" w:name="_Toc232120055"/>
      <w:bookmarkEnd w:id="4"/>
      <w:r>
        <w:rPr>
          <w:b/>
          <w:bCs/>
        </w:rPr>
        <w:t>Procedury wykonywane w trakcie Badania medycznego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  <w:t>I .   Kontrola przygotowania probanta i spełnienia warunków kwalifikacji do zabiegu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ascii="Calibri" w:hAnsi="Calibri"/>
          <w:u w:val="single"/>
        </w:rPr>
      </w:pPr>
      <w:r>
        <w:rPr>
          <w:u w:val="single"/>
        </w:rPr>
        <w:t>Kontrola dokumentacji probanta</w:t>
      </w:r>
    </w:p>
    <w:p>
      <w:pPr>
        <w:pStyle w:val="Normal"/>
        <w:numPr>
          <w:ilvl w:val="1"/>
          <w:numId w:val="8"/>
        </w:numPr>
        <w:spacing w:lineRule="auto" w:line="240" w:before="0" w:after="0"/>
        <w:contextualSpacing/>
        <w:rPr>
          <w:rFonts w:ascii="Calibri" w:hAnsi="Calibri"/>
        </w:rPr>
      </w:pPr>
      <w:r>
        <w:rPr/>
        <w:t>Ocena przeciwskazań do liposukcji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ascii="Calibri" w:hAnsi="Calibri"/>
          <w:u w:val="single"/>
        </w:rPr>
      </w:pPr>
      <w:r>
        <w:rPr>
          <w:u w:val="single"/>
        </w:rPr>
        <w:t>Wykonanie oceny miejsca dawczego:</w:t>
      </w:r>
    </w:p>
    <w:p>
      <w:pPr>
        <w:pStyle w:val="Normal"/>
        <w:numPr>
          <w:ilvl w:val="1"/>
          <w:numId w:val="8"/>
        </w:numPr>
        <w:spacing w:lineRule="auto" w:line="240" w:before="0" w:after="0"/>
        <w:contextualSpacing/>
        <w:rPr>
          <w:rFonts w:ascii="Calibri" w:hAnsi="Calibri"/>
        </w:rPr>
      </w:pPr>
      <w:r>
        <w:rPr/>
        <w:t>Grubościomierz lub suwmiarka do oceny grubości fałdu dla 3 okolic pobrania tłuszczu.</w:t>
      </w:r>
    </w:p>
    <w:p>
      <w:pPr>
        <w:pStyle w:val="Normal"/>
        <w:numPr>
          <w:ilvl w:val="1"/>
          <w:numId w:val="8"/>
        </w:numPr>
        <w:spacing w:lineRule="auto" w:line="240" w:before="0" w:after="0"/>
        <w:contextualSpacing/>
        <w:rPr>
          <w:rFonts w:ascii="Calibri" w:hAnsi="Calibri"/>
        </w:rPr>
      </w:pPr>
      <w:r>
        <w:rPr/>
        <w:t>Fotografie okolic zabiegowych</w:t>
      </w:r>
    </w:p>
    <w:p>
      <w:pPr>
        <w:pStyle w:val="Normal"/>
        <w:numPr>
          <w:ilvl w:val="1"/>
          <w:numId w:val="8"/>
        </w:numPr>
        <w:spacing w:lineRule="auto" w:line="240" w:before="0" w:after="0"/>
        <w:contextualSpacing/>
        <w:rPr>
          <w:rFonts w:ascii="Calibri" w:hAnsi="Calibri"/>
        </w:rPr>
      </w:pPr>
      <w:r>
        <w:rPr/>
        <w:t>Pobranie tłuszczu jest dopuszczalne z max. 3 poniższych okolic</w:t>
      </w:r>
    </w:p>
    <w:p>
      <w:pPr>
        <w:pStyle w:val="Normal"/>
        <w:numPr>
          <w:ilvl w:val="2"/>
          <w:numId w:val="8"/>
        </w:numPr>
        <w:spacing w:lineRule="auto" w:line="240" w:before="0" w:after="0"/>
        <w:contextualSpacing/>
        <w:rPr>
          <w:rFonts w:ascii="Calibri" w:hAnsi="Calibri"/>
        </w:rPr>
      </w:pPr>
      <w:r>
        <w:rPr/>
        <w:t>Powłoki brzucha/Fanki (boki) brzucha/ uda (oddzielnie): zewnętrzne, wewnętrzne/ Pośladki</w:t>
      </w:r>
    </w:p>
    <w:p>
      <w:pPr>
        <w:pStyle w:val="Normal"/>
        <w:spacing w:before="0" w:after="200"/>
        <w:ind w:left="720" w:hanging="0"/>
        <w:contextualSpacing/>
        <w:rPr>
          <w:rFonts w:ascii="Calibri" w:hAnsi="Calibri"/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ascii="Calibri" w:hAnsi="Calibri"/>
          <w:u w:val="single"/>
        </w:rPr>
      </w:pPr>
      <w:r>
        <w:rPr>
          <w:u w:val="single"/>
        </w:rPr>
        <w:t xml:space="preserve">Kontrola badań klinicznych, układu krzepnięcia,  ocena parametrów życiowych </w:t>
      </w:r>
    </w:p>
    <w:p>
      <w:pPr>
        <w:pStyle w:val="Normal"/>
        <w:spacing w:before="0" w:after="200"/>
        <w:ind w:left="1440" w:hanging="0"/>
        <w:contextualSpacing/>
        <w:rPr>
          <w:rFonts w:ascii="Calibri" w:hAnsi="Calibri"/>
          <w:u w:val="single"/>
        </w:rPr>
      </w:pPr>
      <w:r>
        <w:rPr>
          <w:u w:val="single"/>
        </w:rPr>
      </w:r>
    </w:p>
    <w:p>
      <w:pPr>
        <w:pStyle w:val="Normal"/>
        <w:spacing w:before="0" w:after="200"/>
        <w:ind w:left="1440" w:hanging="0"/>
        <w:contextualSpacing/>
        <w:rPr>
          <w:rFonts w:ascii="Calibri" w:hAnsi="Calibri"/>
        </w:rPr>
      </w:pPr>
      <w:r>
        <w:rPr/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ascii="Calibri" w:hAnsi="Calibri"/>
          <w:u w:val="single"/>
        </w:rPr>
      </w:pPr>
      <w:r>
        <w:rPr>
          <w:u w:val="single"/>
        </w:rPr>
        <w:t>Przed zabiegiem należy zastosować leczenie profilaktyczne:</w:t>
      </w:r>
    </w:p>
    <w:p>
      <w:pPr>
        <w:pStyle w:val="Normal"/>
        <w:spacing w:before="0" w:after="200"/>
        <w:ind w:left="3600" w:hanging="0"/>
        <w:contextualSpacing/>
        <w:rPr>
          <w:rFonts w:ascii="Calibri" w:hAnsi="Calibri"/>
        </w:rPr>
      </w:pPr>
      <w:r>
        <w:rPr/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ascii="Calibri" w:hAnsi="Calibri"/>
          <w:b/>
          <w:b/>
          <w:u w:val="single"/>
        </w:rPr>
      </w:pPr>
      <w:r>
        <w:rPr>
          <w:b/>
          <w:u w:val="single"/>
        </w:rPr>
        <w:t>Kontrola zaślepienia (randomizacja), zamówienia strzykawek do lipoaspiratu z kodem pacjenta</w:t>
      </w:r>
    </w:p>
    <w:p>
      <w:pPr>
        <w:pStyle w:val="Normal"/>
        <w:spacing w:before="0" w:after="200"/>
        <w:ind w:left="720" w:hanging="0"/>
        <w:contextualSpacing/>
        <w:rPr>
          <w:rFonts w:ascii="Calibri" w:hAnsi="Calibri"/>
        </w:rPr>
      </w:pPr>
      <w:r>
        <w:rPr/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rPr>
          <w:rFonts w:ascii="Calibri" w:hAnsi="Calibri"/>
          <w:b/>
          <w:b/>
          <w:u w:val="single"/>
        </w:rPr>
      </w:pPr>
      <w:r>
        <w:rPr/>
        <w:t>Kontrola przygotowania płynu tumescencyjnego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b/>
        </w:rPr>
        <w:t>II.  Zabieg liposukcji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rPr>
          <w:rFonts w:ascii="Calibri" w:hAnsi="Calibri"/>
          <w:b/>
          <w:b/>
        </w:rPr>
      </w:pPr>
      <w:r>
        <w:rPr/>
        <w:t>Badanie przedmiotowe pacjenta</w:t>
      </w:r>
    </w:p>
    <w:p>
      <w:pPr>
        <w:pStyle w:val="Normal"/>
        <w:spacing w:before="0" w:after="200"/>
        <w:ind w:left="720" w:hanging="0"/>
        <w:contextualSpacing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rPr>
          <w:rFonts w:ascii="Calibri" w:hAnsi="Calibri"/>
        </w:rPr>
      </w:pPr>
      <w:r>
        <w:rPr>
          <w:color w:val="243F60"/>
        </w:rPr>
        <w:t>Opis wykonania procedury liposukcji  i pobrania  ADSC</w:t>
      </w:r>
    </w:p>
    <w:p>
      <w:pPr>
        <w:pStyle w:val="Normal"/>
        <w:spacing w:before="0" w:after="200"/>
        <w:ind w:left="720" w:hanging="0"/>
        <w:contextualSpacing/>
        <w:rPr>
          <w:rFonts w:ascii="Calibri" w:hAnsi="Calibri"/>
        </w:rPr>
      </w:pPr>
      <w:r>
        <w:rPr/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 xml:space="preserve">Zapewnienie stałego monitoringu EKG i RR oraz innych czynności życiowych pacjenta w trakcie zabiegu 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>Monitorowanie pacjenta pod kątem objawów  krwawienia z ran zabiegowych i stabilności parametrów hemodynamicznych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>Wykonanie max 0,5 cm nacięcia skóry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 xml:space="preserve"> </w:t>
      </w:r>
      <w:r>
        <w:rPr/>
        <w:t>Nastrzykniecie płynem tumescencyjnym przy użyciu tępej kaniuli pól dawczych i stosunku objętościowym 1:1 tumescencyjnego  roztworu do Potencjalnej Objętości Tłuszczu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>Minimum 500 ml płynu tumescencyjnego zapewnia zadawalającą hemostazę  w trakcie procedury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>
          <w:u w:val="single"/>
        </w:rPr>
        <w:t>Po upływie 30 minut</w:t>
      </w:r>
      <w:r>
        <w:rPr/>
        <w:t>, tłuszcz jest odciągany przez to samo nacięcie, przy użyciu kaniuli 3-3,5 mm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>Do pierwszych probówek pobrać ok. 40 ml płyny do butelki na badanie mikrobiologiczne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 xml:space="preserve">Po wypełnieniu lipoaspiratem oznaczonej (kod pacjenta) strzykawki zamknąć otwór sterylną zatyczką, nie jest wymagane pełne wypełnienie strzykawek  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</w:rPr>
      </w:pPr>
      <w:r>
        <w:rPr/>
        <w:t>Jeśli lipoaspirat staje się nieprzezroczysty lub krwawy i / lub, jeśli postęp aspiracji z pierwszego pola nie pozwala na pobranie założonej 300 ml ilości tłuszczu, chirurg przechodzi do drugiej okolicy przygotowanej do pobrania, do 3 okolic na zabieg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  <w:b/>
          <w:b/>
          <w:u w:val="single"/>
        </w:rPr>
      </w:pPr>
      <w:r>
        <w:rPr>
          <w:b/>
          <w:u w:val="single"/>
        </w:rPr>
        <w:t>Liposukcja jest kontynuowana do osiągniecia założonej ilości 250-350 ml tkanki tłuszczowej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  <w:b/>
          <w:b/>
          <w:u w:val="single"/>
        </w:rPr>
      </w:pPr>
      <w:r>
        <w:rPr/>
        <w:t>Zamkniecie ran szwami chirurgicznymi wg decyzji operatora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rPr>
          <w:rFonts w:ascii="Calibri" w:hAnsi="Calibri"/>
          <w:b/>
          <w:b/>
          <w:u w:val="single"/>
        </w:rPr>
      </w:pPr>
      <w:r>
        <w:rPr/>
        <w:t xml:space="preserve">założenie opatrunków oraz wymiarowe ubranie lub pas uciskający </w:t>
      </w:r>
    </w:p>
    <w:p>
      <w:pPr>
        <w:pStyle w:val="Normal"/>
        <w:numPr>
          <w:ilvl w:val="3"/>
          <w:numId w:val="10"/>
        </w:numPr>
        <w:spacing w:lineRule="auto" w:line="240" w:before="0" w:after="0"/>
        <w:ind w:left="720" w:hanging="360"/>
        <w:contextualSpacing/>
        <w:rPr>
          <w:rFonts w:ascii="Calibri" w:hAnsi="Calibri"/>
        </w:rPr>
      </w:pPr>
      <w:r>
        <w:rPr/>
        <w:t xml:space="preserve">Zamówienie transportu materiału ( na 1 h przed zakończeniem zabiegu), zabezpieczenie, oznaczonych kodem probówek  z lipoaspiratem, kontrola przepisowości pakowania, wypełnienie formularza oddania materiału do transportu  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rPr>
          <w:rFonts w:ascii="Calibri" w:hAnsi="Calibri"/>
        </w:rPr>
      </w:pPr>
      <w:r>
        <w:rPr/>
        <w:t>Okolica po liposukcji powinna być kontrolowana w ciągu pierwszych 2 godzin po zabiegu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rPr>
          <w:rFonts w:ascii="Calibri" w:hAnsi="Calibri"/>
        </w:rPr>
      </w:pPr>
      <w:r>
        <w:rPr/>
        <w:t xml:space="preserve">Każdy zabieg wymaga wpisów do dokumentacji medycznej, wypełnienia CRF, a po zakończeniu zadań, w liczbie (liczba liposukcji)  zadeklarowanej przez Wykonawcę  przygotowanie podsumowania badawczego.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 w:before="0" w:after="200"/>
        <w:ind w:left="0" w:hanging="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libri" w:hAnsi="Calibri"/>
        <w:sz w:val="20"/>
        <w:szCs w:val="20"/>
        <w:lang w:eastAsia="pl-PL"/>
      </w:rPr>
    </w:pPr>
    <w:r>
      <w:rPr>
        <w:sz w:val="20"/>
        <w:szCs w:val="20"/>
        <w:lang w:eastAsia="pl-PL"/>
      </w:rPr>
      <w:t>Wydatek współfinansowany ze środków Narodowego Centrum Badań i Rozwoju w ramach</w:t>
    </w:r>
  </w:p>
  <w:p>
    <w:pPr>
      <w:pStyle w:val="Normal"/>
      <w:spacing w:lineRule="auto" w:line="240" w:before="0" w:after="0"/>
      <w:jc w:val="center"/>
      <w:rPr>
        <w:rFonts w:ascii="Calibri" w:hAnsi="Calibri"/>
        <w:sz w:val="20"/>
        <w:szCs w:val="20"/>
      </w:rPr>
    </w:pPr>
    <w:r>
      <w:rPr>
        <w:sz w:val="20"/>
        <w:szCs w:val="20"/>
        <w:lang w:eastAsia="pl-PL"/>
      </w:rPr>
      <w:t>Programu STATEGMED</w:t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60" w:hanging="360"/>
      </w:pPr>
      <w:rPr>
        <w:sz w:val="22"/>
        <w:b/>
        <w:rFonts w:ascii="Calibri" w:hAnsi="Calibri"/>
        <w:color w:val="00000A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11" w:hanging="360"/>
      </w:pPr>
      <w:rPr>
        <w:rFonts w:ascii="Calibri" w:hAnsi="Calibri"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99"/>
    <w:qFormat/>
    <w:rsid w:val="007969b0"/>
    <w:rPr>
      <w:rFonts w:ascii="Times New Roman" w:hAnsi="Times New Roman"/>
      <w:b/>
      <w:bCs/>
      <w:sz w:val="22"/>
    </w:rPr>
  </w:style>
  <w:style w:type="character" w:styleId="Bodytext2" w:customStyle="1">
    <w:name w:val="Body text (2)_"/>
    <w:basedOn w:val="DefaultParagraphFont"/>
    <w:link w:val="Bodytext20"/>
    <w:qFormat/>
    <w:rsid w:val="007969b0"/>
    <w:rPr>
      <w:rFonts w:ascii="Times New Roman" w:hAnsi="Times New Roman" w:eastAsia="Times New Roman"/>
      <w:sz w:val="21"/>
      <w:szCs w:val="21"/>
      <w:shd w:fill="FFFFFF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7eb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f1273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70d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70dc6"/>
    <w:rPr/>
  </w:style>
  <w:style w:type="character" w:styleId="ListLabel1">
    <w:name w:val="ListLabel 1"/>
    <w:qFormat/>
    <w:rPr>
      <w:b/>
      <w:color w:val="00000A"/>
      <w:sz w:val="22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/>
      <w:b/>
    </w:rPr>
  </w:style>
  <w:style w:type="character" w:styleId="ListLabel8">
    <w:name w:val="ListLabel 8"/>
    <w:qFormat/>
    <w:rPr>
      <w:rFonts w:ascii="Calibri" w:hAnsi="Calibri" w:eastAsia="Times New Roman" w:cs="Times New Roman"/>
    </w:rPr>
  </w:style>
  <w:style w:type="character" w:styleId="ListLabel9">
    <w:name w:val="ListLabel 9"/>
    <w:qFormat/>
    <w:rPr>
      <w:rFonts w:ascii="Calibri" w:hAnsi="Calibri"/>
      <w:b/>
      <w:color w:val="00000A"/>
      <w:sz w:val="22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ascii="Calibri" w:hAnsi="Calibri" w:cs="Symbol"/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/>
      <w:b/>
    </w:rPr>
  </w:style>
  <w:style w:type="character" w:styleId="ListLabel21">
    <w:name w:val="ListLabel 21"/>
    <w:qFormat/>
    <w:rPr>
      <w:rFonts w:ascii="Calibri" w:hAnsi="Calibri" w:eastAsia="Times New Roman" w:cs="Times New Roman"/>
    </w:rPr>
  </w:style>
  <w:style w:type="character" w:styleId="ListLabel22">
    <w:name w:val="ListLabel 22"/>
    <w:qFormat/>
    <w:rPr>
      <w:rFonts w:ascii="Calibri" w:hAnsi="Calibri"/>
      <w:b/>
      <w:color w:val="00000A"/>
      <w:sz w:val="22"/>
    </w:rPr>
  </w:style>
  <w:style w:type="character" w:styleId="ListLabel23">
    <w:name w:val="ListLabel 23"/>
    <w:qFormat/>
    <w:rPr>
      <w:rFonts w:eastAsia="Times New Roman" w:cs="Times New Roman"/>
    </w:rPr>
  </w:style>
  <w:style w:type="character" w:styleId="ListLabel24">
    <w:name w:val="ListLabel 24"/>
    <w:qFormat/>
    <w:rPr>
      <w:rFonts w:ascii="Calibri" w:hAnsi="Calibri" w:cs="Symbol"/>
      <w:b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libri" w:hAnsi="Calibri"/>
      <w:b/>
    </w:rPr>
  </w:style>
  <w:style w:type="character" w:styleId="ListLabel34">
    <w:name w:val="ListLabel 34"/>
    <w:qFormat/>
    <w:rPr>
      <w:rFonts w:ascii="Calibri" w:hAnsi="Calibri"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69b0"/>
    <w:pPr>
      <w:bidi w:val="0"/>
      <w:spacing w:lineRule="auto" w:line="240" w:before="240" w:after="240"/>
      <w:ind w:left="720" w:hanging="0"/>
      <w:contextualSpacing/>
      <w:jc w:val="left"/>
    </w:pPr>
    <w:rPr>
      <w:rFonts w:ascii="Calibri" w:hAnsi="Calibri" w:eastAsia="Calibri" w:cs="Times New Roman"/>
    </w:rPr>
  </w:style>
  <w:style w:type="paragraph" w:styleId="Bodytext21" w:customStyle="1">
    <w:name w:val="Body text (2)"/>
    <w:basedOn w:val="Normal"/>
    <w:link w:val="Bodytext2"/>
    <w:qFormat/>
    <w:rsid w:val="007969b0"/>
    <w:pPr>
      <w:widowControl w:val="false"/>
      <w:shd w:val="clear" w:color="auto" w:fill="FFFFFF"/>
      <w:spacing w:lineRule="auto" w:line="240" w:before="360" w:after="240"/>
      <w:ind w:firstLine="2"/>
      <w:jc w:val="both"/>
    </w:pPr>
    <w:rPr>
      <w:rFonts w:ascii="Times New Roman" w:hAnsi="Times New Roman" w:eastAsia="Times New Roman"/>
      <w:sz w:val="21"/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7e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318e8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970d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0dc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521bb9"/>
    <w:pPr>
      <w:suppressAutoHyphens w:val="true"/>
      <w:ind w:left="720" w:hanging="0"/>
    </w:pPr>
    <w:rPr>
      <w:rFonts w:ascii="Calibri" w:hAnsi="Calibri" w:eastAsia="SimSun" w:cs="font307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biuro@klinikamelitus.pl" TargetMode="External"/><Relationship Id="rId5" Type="http://schemas.openxmlformats.org/officeDocument/2006/relationships/hyperlink" Target="mailto:maria.noszczyk@melitus.pl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LibreOffice/5.2.4.2$Windows_x86 LibreOffice_project/3d5603e1122f0f102b62521720ab13a38a4e0eb0</Application>
  <Pages>7</Pages>
  <Words>1643</Words>
  <Characters>10701</Characters>
  <CharactersWithSpaces>12197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2016-12-29T09:54:00Z</dcterms:created>
  <dc:creator>M.Noszczyk</dc:creator>
  <dc:description/>
  <dc:language>pl-PL</dc:language>
  <cp:lastModifiedBy/>
  <dcterms:modified xsi:type="dcterms:W3CDTF">2016-12-30T10:26:38Z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