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  <w:bookmarkStart w:id="0" w:name="_Toc232120055"/>
      <w:r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>
        <w:rPr>
          <w:rFonts w:ascii="Calibri" w:hAnsi="Calibri" w:cs="Calibri"/>
          <w:b/>
          <w:sz w:val="22"/>
          <w:szCs w:val="22"/>
        </w:rPr>
        <w:t>nr 1 – Lekarze chirurdzy</w:t>
      </w:r>
    </w:p>
    <w:p w:rsidR="00F01D8D" w:rsidRDefault="00F01D8D" w:rsidP="00F01D8D">
      <w:pPr>
        <w:keepNext/>
        <w:keepLines/>
        <w:spacing w:before="48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Procedury wykonywane w trakcie Badania medycznego</w:t>
      </w:r>
      <w:bookmarkEnd w:id="0"/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.   Kontrola przygotowania probanta i spełnienia warunków kwalifikacji do zabiegu</w:t>
      </w:r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</w:p>
    <w:p w:rsidR="00F01D8D" w:rsidRDefault="00F01D8D" w:rsidP="00F01D8D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Kontrola dokumentacji probanta</w:t>
      </w:r>
    </w:p>
    <w:p w:rsidR="00F01D8D" w:rsidRDefault="00F01D8D" w:rsidP="00F01D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Ocena przeciwskazań do liposukcji</w:t>
      </w:r>
    </w:p>
    <w:p w:rsidR="00F01D8D" w:rsidRDefault="00F01D8D" w:rsidP="00F01D8D">
      <w:pPr>
        <w:rPr>
          <w:rFonts w:ascii="Calibri" w:hAnsi="Calibri" w:cs="Calibri"/>
          <w:sz w:val="22"/>
          <w:szCs w:val="22"/>
        </w:rPr>
      </w:pPr>
    </w:p>
    <w:p w:rsidR="00F01D8D" w:rsidRDefault="00F01D8D" w:rsidP="00F01D8D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Wykonanie oceny miejsca dawczego:</w:t>
      </w:r>
    </w:p>
    <w:p w:rsidR="00F01D8D" w:rsidRDefault="00F01D8D" w:rsidP="00F01D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Grubościomierz lub suwmiarka do oceny grubości fałdu dla 3 okolic pobrania tłuszczu.</w:t>
      </w:r>
    </w:p>
    <w:p w:rsidR="00F01D8D" w:rsidRDefault="00F01D8D" w:rsidP="00F01D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Fotografie okolic zabiegowych</w:t>
      </w:r>
    </w:p>
    <w:p w:rsidR="00F01D8D" w:rsidRDefault="00F01D8D" w:rsidP="00F01D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Pobranie tłuszczu jest dopuszczalne z max. 3 poniższych okolic</w:t>
      </w:r>
    </w:p>
    <w:p w:rsidR="00F01D8D" w:rsidRDefault="00F01D8D" w:rsidP="00F01D8D">
      <w:pPr>
        <w:numPr>
          <w:ilvl w:val="2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Powłoki brzucha/Fanki (boki) brzucha/ uda (oddzielnie): zewnętrzne, wewnętrzne/ Pośladki</w:t>
      </w:r>
    </w:p>
    <w:p w:rsidR="00F01D8D" w:rsidRDefault="00F01D8D" w:rsidP="00F01D8D">
      <w:pPr>
        <w:ind w:left="720"/>
        <w:contextualSpacing/>
        <w:rPr>
          <w:rFonts w:ascii="Calibri" w:hAnsi="Calibri" w:cs="Calibri"/>
          <w:sz w:val="22"/>
          <w:szCs w:val="22"/>
          <w:u w:val="single"/>
        </w:rPr>
      </w:pPr>
    </w:p>
    <w:p w:rsidR="00F01D8D" w:rsidRDefault="00F01D8D" w:rsidP="00F01D8D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Kontrola badań klinicznych, układu krzepnięcia,  ocena parametrów życiowych </w:t>
      </w:r>
    </w:p>
    <w:p w:rsidR="00F01D8D" w:rsidRDefault="00F01D8D" w:rsidP="00F01D8D">
      <w:pPr>
        <w:ind w:left="1440"/>
        <w:contextualSpacing/>
        <w:rPr>
          <w:rFonts w:ascii="Calibri" w:hAnsi="Calibri" w:cs="Calibri"/>
          <w:sz w:val="22"/>
          <w:szCs w:val="22"/>
          <w:u w:val="single"/>
        </w:rPr>
      </w:pPr>
    </w:p>
    <w:p w:rsidR="00F01D8D" w:rsidRDefault="00F01D8D" w:rsidP="00F01D8D">
      <w:pPr>
        <w:ind w:left="1440"/>
        <w:contextualSpacing/>
        <w:rPr>
          <w:rFonts w:ascii="Calibri" w:hAnsi="Calibri" w:cs="Calibri"/>
          <w:sz w:val="22"/>
          <w:szCs w:val="22"/>
        </w:rPr>
      </w:pPr>
    </w:p>
    <w:p w:rsidR="00F01D8D" w:rsidRDefault="00F01D8D" w:rsidP="00F01D8D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Przed zabiegiem należy zastosować leczenie profilaktyczne:</w:t>
      </w:r>
    </w:p>
    <w:p w:rsidR="00F01D8D" w:rsidRDefault="00F01D8D" w:rsidP="00F01D8D">
      <w:pPr>
        <w:ind w:left="3600"/>
        <w:contextualSpacing/>
        <w:rPr>
          <w:rFonts w:ascii="Calibri" w:hAnsi="Calibri" w:cs="Calibri"/>
          <w:sz w:val="22"/>
          <w:szCs w:val="22"/>
        </w:rPr>
      </w:pPr>
    </w:p>
    <w:p w:rsidR="00F01D8D" w:rsidRDefault="00F01D8D" w:rsidP="00F01D8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Kontrola zaślepienia (randomizacja), zamówienia strzykawek do lipoaspiratu z kodem pacjenta</w:t>
      </w:r>
    </w:p>
    <w:p w:rsidR="00F01D8D" w:rsidRDefault="00F01D8D" w:rsidP="00F01D8D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:rsidR="00F01D8D" w:rsidRDefault="00F01D8D" w:rsidP="00F01D8D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Kontrola przygotowania płynu tumescencyjnego</w:t>
      </w:r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</w:p>
    <w:p w:rsidR="00F01D8D" w:rsidRDefault="00F01D8D" w:rsidP="00F01D8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  Zabieg liposukcji</w:t>
      </w:r>
    </w:p>
    <w:p w:rsidR="00F01D8D" w:rsidRDefault="00F01D8D" w:rsidP="00F01D8D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Badanie przedmiotowe pacjenta</w:t>
      </w:r>
    </w:p>
    <w:p w:rsidR="00F01D8D" w:rsidRDefault="00F01D8D" w:rsidP="00F01D8D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F01D8D" w:rsidRDefault="00F01D8D" w:rsidP="00F01D8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43F60"/>
          <w:sz w:val="22"/>
          <w:szCs w:val="22"/>
        </w:rPr>
        <w:t>Opis wykonania procedury liposukcji  i pobrania  ADSC</w:t>
      </w:r>
    </w:p>
    <w:p w:rsidR="00F01D8D" w:rsidRDefault="00F01D8D" w:rsidP="00F01D8D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Zapewnienie stałego monitoringu EKG i RR oraz innych czynności życiowych pacjenta w trakcie zabiegu 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Monitorowanie pacjenta pod kątem objawów  krwawienia z ran zabiegowych i stabilności parametrów hemodynamicznych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max 0,5 cm nacięcia skóry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Nastrzykniecie płynem tumescencyjnym przy użyciu tępej kaniuli pól dawczych i stosunku objętościowym 1:1 tumescencyjnego  roztworu do Potencjalnej Objętości Tłuszczu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Minimum 500 ml płynu tumescencyjnego zapewnia zadawalającą hemostazę  w trakcie procedury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Po upływie 30 minut</w:t>
      </w:r>
      <w:r>
        <w:rPr>
          <w:rFonts w:ascii="Calibri" w:hAnsi="Calibri" w:cs="Calibri"/>
          <w:sz w:val="22"/>
          <w:szCs w:val="22"/>
        </w:rPr>
        <w:t>, tłuszcz jest odciągany przez to samo nacięcie, przy użyciu kaniuli 3-3,5 mm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pierwszych probówek pobrać ok. 40 ml płyny do butelki na badanie mikrobiologiczne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wypełnieniu lipoaspiratem oznaczonej (kod pacjenta) strzykawki zamknąć otwór sterylną zatyczką, nie jest wymagane pełne wypełnienie strzykawek  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Jeśli lipoaspirat staje się nieprzezroczysty lub krwawy i / lub, jeśli postęp aspiracji z pierwszego pola nie pozwala na pobranie założonej 300 ml ilości tłuszczu, chirurg przechodzi do drugiej okolicy przygotowanej do pobrania, do 3 okolic na zabieg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Liposukcja jest kontynuowana do osiągniecia założonej ilości 250-350 ml tkanki tłuszczowej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Zamkniecie ran szwami chirurgicznymi wg decyzji operatora</w:t>
      </w:r>
    </w:p>
    <w:p w:rsidR="00F01D8D" w:rsidRDefault="00F01D8D" w:rsidP="00F01D8D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założenie opatrunków oraz wymiarowe ubranie lub pas uciskający </w:t>
      </w:r>
    </w:p>
    <w:p w:rsidR="00F01D8D" w:rsidRDefault="00F01D8D" w:rsidP="00F01D8D">
      <w:pPr>
        <w:numPr>
          <w:ilvl w:val="3"/>
          <w:numId w:val="2"/>
        </w:num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transportu materiału ( na 1 h przed zakończeniem zabiegu), zabezpieczenie, oznaczonych kodem probówek  z lipoaspiratem, kontrola przepisowości pakowania, wypełnienie formularza oddania materiału do transportu  </w:t>
      </w:r>
    </w:p>
    <w:p w:rsidR="00F01D8D" w:rsidRDefault="00F01D8D" w:rsidP="00F01D8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Okolica po liposukcji powinna być kontrolowana w ciągu pierwszych 2 godzin po zabiegu</w:t>
      </w:r>
    </w:p>
    <w:p w:rsidR="00F01D8D" w:rsidRDefault="00F01D8D" w:rsidP="00F01D8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Każdy zabieg wymaga wpisów do dokumentacji medycznej, wypełnienia CRF, a po zakończeniu zadań, w liczbie (liczba liposukcji)  zadeklarowanej przez Wykonawcę  przygotowanie podsumowania badawczego. </w:t>
      </w:r>
    </w:p>
    <w:p w:rsidR="00D160EC" w:rsidRDefault="00D160EC"/>
    <w:sectPr w:rsidR="00D160EC" w:rsidSect="00D1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664"/>
    <w:multiLevelType w:val="hybridMultilevel"/>
    <w:tmpl w:val="6994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50EF2"/>
    <w:multiLevelType w:val="hybridMultilevel"/>
    <w:tmpl w:val="8A54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54CC"/>
    <w:multiLevelType w:val="hybridMultilevel"/>
    <w:tmpl w:val="66460684"/>
    <w:lvl w:ilvl="0" w:tplc="62E6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D8D"/>
    <w:rsid w:val="00D160EC"/>
    <w:rsid w:val="00F0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Melitus</dc:creator>
  <cp:lastModifiedBy>Melitus</cp:lastModifiedBy>
  <cp:revision>2</cp:revision>
  <dcterms:created xsi:type="dcterms:W3CDTF">2016-12-30T11:57:00Z</dcterms:created>
  <dcterms:modified xsi:type="dcterms:W3CDTF">2016-12-30T11:57:00Z</dcterms:modified>
</cp:coreProperties>
</file>